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09"/>
        <w:tblBorders/>
      </w:tblPr>
      <w:tblGrid>
        <w:gridCol w:w="1192"/>
      </w:tblGrid>
      <w:tr>
        <w:trPr>
          <w:trHeight w:hRule="atLeast" w:val="80"/>
          <w:cantSplit w:val="false"/>
        </w:trPr>
        <w:tc>
          <w:tcPr>
            <w:tcW w:type="dxa" w:w="1192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11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192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12288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1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92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1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192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 от .2022г                   « О бюджете сельского поселения Красная Поляна муниципального района Пестравский на 2023г»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1192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2023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1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119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19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193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192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11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2018-2033гг»</w:t>
            </w:r>
          </w:p>
        </w:tc>
        <w:tc>
          <w:tcPr>
            <w:tcW w:type="dxa" w:w="11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220 00 0000 0</w:t>
            </w:r>
          </w:p>
        </w:tc>
        <w:tc>
          <w:tcPr>
            <w:tcW w:type="dxa" w:w="119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2 414,410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           2018-2033гг» 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2 414,410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800,000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содержанию автомобильных дорог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1 614,410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1 614,410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Благоустройство населенного пункта сельского поселения Красная Поляна муниципального района Пестравский СО на 2023-2025</w:t>
            </w: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гг» 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  <w:b/>
              </w:rPr>
              <w:t>302,000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</w:rPr>
              <w:t xml:space="preserve">22100 00010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</w:rPr>
              <w:t>292,000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</w:rPr>
              <w:t>292,000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right"/>
            </w:pPr>
            <w:r>
              <w:rPr>
                <w:rFonts w:ascii="Times New Roman" w:hAnsi="Times New Roman"/>
              </w:rPr>
              <w:t>10,000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2716,410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833,280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833,280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833,280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98,000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90,400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2 381,72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2 381,72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1770,720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585,000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761,087</w:t>
            </w:r>
          </w:p>
        </w:tc>
      </w:tr>
      <w:tr>
        <w:trPr>
          <w:trHeight w:hRule="atLeast" w:val="717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вопросов, культуры за  счет   собственных средств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761,087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761,087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908 00 78210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(Комплексное развитие с/территорий)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гражданской обороны 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920 00 20140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920 00 20140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920 00 20140</w:t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4 135,087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19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19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9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6 851,497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12288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12288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Кадацкая Мария</cp:lastModifiedBy>
  <cp:lastPrinted>2022-11-16T13:38:54.70Z</cp:lastPrinted>
  <dcterms:modified xsi:type="dcterms:W3CDTF">2022-11-11T10:22:00.00Z</dcterms:modified>
  <cp:revision>116</cp:revision>
</cp:coreProperties>
</file>